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7E0" w:rsidRDefault="00C067E0" w:rsidP="00C067E0">
      <w:pPr>
        <w:rPr>
          <w:b/>
          <w:sz w:val="40"/>
          <w:szCs w:val="40"/>
        </w:rPr>
      </w:pPr>
    </w:p>
    <w:p w:rsidR="00C067E0" w:rsidRDefault="00C067E0" w:rsidP="00C067E0">
      <w:pPr>
        <w:rPr>
          <w:b/>
          <w:sz w:val="40"/>
          <w:szCs w:val="40"/>
        </w:rPr>
      </w:pPr>
    </w:p>
    <w:p w:rsidR="00C067E0" w:rsidRDefault="00C067E0" w:rsidP="00C067E0">
      <w:pPr>
        <w:rPr>
          <w:b/>
          <w:sz w:val="40"/>
          <w:szCs w:val="40"/>
        </w:rPr>
      </w:pPr>
    </w:p>
    <w:p w:rsidR="00C067E0" w:rsidRDefault="00C067E0" w:rsidP="00C067E0">
      <w:pPr>
        <w:rPr>
          <w:b/>
          <w:sz w:val="40"/>
          <w:szCs w:val="40"/>
        </w:rPr>
      </w:pPr>
    </w:p>
    <w:p w:rsidR="00C067E0" w:rsidRDefault="00C067E0" w:rsidP="00C067E0">
      <w:pPr>
        <w:rPr>
          <w:b/>
          <w:sz w:val="40"/>
          <w:szCs w:val="40"/>
        </w:rPr>
      </w:pPr>
    </w:p>
    <w:p w:rsidR="00C067E0" w:rsidRPr="0007287A" w:rsidRDefault="00C067E0" w:rsidP="00C067E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Pr="0007287A">
        <w:rPr>
          <w:b/>
          <w:sz w:val="40"/>
          <w:szCs w:val="40"/>
        </w:rPr>
        <w:t>Vyhodnocení SWOT analýzy VŠ zapojených do</w:t>
      </w:r>
      <w:r>
        <w:rPr>
          <w:b/>
          <w:sz w:val="40"/>
          <w:szCs w:val="40"/>
        </w:rPr>
        <w:t> </w:t>
      </w:r>
      <w:r w:rsidRPr="0007287A">
        <w:rPr>
          <w:b/>
          <w:sz w:val="40"/>
          <w:szCs w:val="40"/>
        </w:rPr>
        <w:t>projektu</w:t>
      </w:r>
      <w:r>
        <w:rPr>
          <w:b/>
          <w:sz w:val="40"/>
          <w:szCs w:val="40"/>
        </w:rPr>
        <w:t xml:space="preserve"> KREDO</w:t>
      </w:r>
    </w:p>
    <w:p w:rsidR="00C067E0" w:rsidRDefault="00C067E0" w:rsidP="00C067E0">
      <w:pPr>
        <w:ind w:left="993" w:hanging="993"/>
        <w:rPr>
          <w:b/>
          <w:sz w:val="28"/>
          <w:szCs w:val="28"/>
        </w:rPr>
      </w:pPr>
    </w:p>
    <w:p w:rsidR="00C067E0" w:rsidRDefault="00C067E0" w:rsidP="00C067E0">
      <w:pPr>
        <w:ind w:left="993" w:hanging="993"/>
        <w:rPr>
          <w:b/>
          <w:sz w:val="28"/>
          <w:szCs w:val="28"/>
        </w:rPr>
      </w:pPr>
    </w:p>
    <w:p w:rsidR="00C067E0" w:rsidRDefault="00C067E0" w:rsidP="00C067E0">
      <w:pPr>
        <w:ind w:left="993" w:hanging="993"/>
        <w:rPr>
          <w:b/>
          <w:sz w:val="28"/>
          <w:szCs w:val="28"/>
        </w:rPr>
      </w:pPr>
    </w:p>
    <w:p w:rsidR="00C067E0" w:rsidRDefault="00C067E0" w:rsidP="00C067E0">
      <w:pPr>
        <w:ind w:left="993" w:hanging="993"/>
        <w:rPr>
          <w:b/>
          <w:sz w:val="28"/>
          <w:szCs w:val="28"/>
        </w:rPr>
      </w:pPr>
    </w:p>
    <w:p w:rsidR="00C067E0" w:rsidRDefault="00C067E0" w:rsidP="00C067E0">
      <w:pPr>
        <w:ind w:left="993" w:hanging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Část 2:</w:t>
      </w:r>
    </w:p>
    <w:p w:rsidR="00C067E0" w:rsidRDefault="00C067E0" w:rsidP="00C067E0">
      <w:pPr>
        <w:ind w:left="993" w:hanging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Analýza personální politiky a </w:t>
      </w:r>
      <w:r w:rsidRPr="00753452">
        <w:rPr>
          <w:b/>
          <w:sz w:val="28"/>
          <w:szCs w:val="28"/>
        </w:rPr>
        <w:t>rozvoje služeb pro členy akademické obce</w:t>
      </w:r>
      <w:r>
        <w:rPr>
          <w:b/>
          <w:sz w:val="28"/>
          <w:szCs w:val="28"/>
        </w:rPr>
        <w:t xml:space="preserve"> pro veřejné a státní vysoké školy</w:t>
      </w:r>
    </w:p>
    <w:p w:rsidR="00C067E0" w:rsidRDefault="00C067E0" w:rsidP="00C067E0">
      <w:pPr>
        <w:ind w:left="993" w:hanging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(domény 11-16, 17-22, 343, 353, 363,373, 383, 491, 501, 511)</w:t>
      </w:r>
    </w:p>
    <w:p w:rsidR="00C067E0" w:rsidRDefault="00C067E0" w:rsidP="00C067E0">
      <w:pPr>
        <w:ind w:left="993" w:hanging="993"/>
        <w:rPr>
          <w:b/>
          <w:sz w:val="28"/>
          <w:szCs w:val="28"/>
        </w:rPr>
      </w:pPr>
    </w:p>
    <w:p w:rsidR="00C067E0" w:rsidRDefault="00C067E0" w:rsidP="00C067E0">
      <w:pPr>
        <w:ind w:left="993" w:hanging="993"/>
        <w:rPr>
          <w:b/>
          <w:sz w:val="28"/>
          <w:szCs w:val="28"/>
        </w:rPr>
      </w:pPr>
    </w:p>
    <w:p w:rsidR="00C067E0" w:rsidRDefault="00C067E0" w:rsidP="00C067E0">
      <w:pPr>
        <w:ind w:left="993" w:hanging="993"/>
        <w:rPr>
          <w:b/>
          <w:sz w:val="28"/>
          <w:szCs w:val="28"/>
        </w:rPr>
      </w:pPr>
    </w:p>
    <w:p w:rsidR="00C067E0" w:rsidRDefault="00C067E0" w:rsidP="00C067E0">
      <w:pPr>
        <w:ind w:left="993" w:hanging="993"/>
        <w:rPr>
          <w:b/>
          <w:sz w:val="28"/>
          <w:szCs w:val="28"/>
        </w:rPr>
      </w:pPr>
      <w:r>
        <w:rPr>
          <w:b/>
          <w:sz w:val="28"/>
          <w:szCs w:val="28"/>
        </w:rPr>
        <w:t>Praha, srpen 2014</w:t>
      </w:r>
      <w:r>
        <w:rPr>
          <w:b/>
          <w:sz w:val="28"/>
          <w:szCs w:val="28"/>
        </w:rPr>
        <w:br w:type="page"/>
      </w:r>
    </w:p>
    <w:p w:rsidR="00C067E0" w:rsidRPr="004739D6" w:rsidRDefault="00C067E0" w:rsidP="00C067E0">
      <w:pPr>
        <w:rPr>
          <w:b/>
          <w:sz w:val="26"/>
          <w:szCs w:val="26"/>
        </w:rPr>
      </w:pPr>
      <w:r w:rsidRPr="004739D6">
        <w:rPr>
          <w:b/>
          <w:sz w:val="26"/>
          <w:szCs w:val="26"/>
        </w:rPr>
        <w:lastRenderedPageBreak/>
        <w:t>11. Získávání/nábor akademických pracovníků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 (33%)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Výchova vlastních doktorandů pro pozice akademických pracovníků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Existence kritérií pro výběr akad. pracovníků, transparentní výběrové řízení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Zaměstnání na prestižní VŠ, atraktivita prostředí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Stabilita zaměstnání s minimální fluktuací, kvalitní zázemí, možnost kariérního růstu,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Flexibilita akademického prostředí, vlastní časová optimalizace práce, vysoká míra svobody seberealizace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Možnost kontaktů se zahraničím (stáže, pobyty), podpora jazykových kompetencí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W (26%)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Neodpovídající platové nabídky, přetrvávající mzdová nivelizace a velké časové zatížení – málo atraktivní pro odborníky z praxe i zahraniční zájemce o zaměstnání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sz w:val="20"/>
          <w:szCs w:val="20"/>
        </w:rPr>
        <w:t>Inbreading – využívání pouze vlastních absolventů, malá otevřenost vnějšímu prostředí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Malý počet vhodných kandidátů pro výběrová řízení, nedostatečná kvalita potenciálních pracovníků v regionu,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Malá zkušenost s edukačním prostředím v terciárním vzdělávání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 xml:space="preserve">Nedostatečné jazykové vybavení kandidátů o zaměstnání 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Jazykové bariéry ztěžující zaměstnání pracovníků ze zahraničí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Nedostatečná generační obměna zaměstnanců i genderová nevyváženost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Velká míra administrativní zátěže akademických pracovníků i roztříštěnost jejich pracovních aktivit odrazuje odborníky z praxe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Malá atraktivita některých oborů/pracovišť pro odborníky z praxe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Horší prostorové a technické vybavení VŠ v porovnání s výrobní praxí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 (22%)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Reintegrace absolventů působících v zahraničí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Vytváření atraktivních pracovních příležitostí v rámci výzkumných center pro odborníky z praxe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Využití operačních programů a dalších vhodných zdrojů pro cílené vytváření pracovních míst na VŠ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Posílení stipendií a dalších motivačních pobídek pro DSP programy – vhodní kandidáti pro zaměstnání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Kontraktové financování podpoří stabilnější VŠ prostředí i v oblasti personální politiky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Využití sociálních sítí apod. pro nábor pracovníků, spolupráce s personálními agenturami, využití ALUMNI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Prohloubení spolupráce s domácími a zahraničními univerzitami a institucemi, přeshraniční spolupráce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Jasně nastavený kariérní řád, diferencované odměňování dle pracovních výkonů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Zásadní potřeba změny zákoníku práce – umožnění opětovného řetězení smluv na dobru určitou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T (20%)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Klesající institucionální i účelové dotace z veřejných zdrojů s limitovanými mzdovými prostředky ovlivňují nízkou konkurenceschopnost VŠ při získávání zahraničních odborníků i odborníků z praxe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 xml:space="preserve">Vzájemná konkurence VŠ při získávání zaměstnanců (přeplácení) – soukromé VŠ, mimopražská výzkumná centra 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Cizinecká politika ČR ztěžuje přijímání zahraničních pracovníků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Únik mozků z VŠ do zahraničí a soukromého sektoru za lepším finančním ohodnocením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Změna společenských hodnot, mediální a politická "trivializace" akademické kariéry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Riziko porušování pracovně právních předpisů dané charakterem a specifickými potřebami akademického prostředí (řetězení pracovních smluv, větší počet pracovních úvazků)</w:t>
      </w:r>
    </w:p>
    <w:p w:rsidR="00C067E0" w:rsidRPr="004739D6" w:rsidRDefault="00C067E0" w:rsidP="00C067E0">
      <w:pPr>
        <w:rPr>
          <w:sz w:val="20"/>
          <w:szCs w:val="20"/>
        </w:rPr>
      </w:pPr>
      <w:r w:rsidRPr="004739D6">
        <w:rPr>
          <w:sz w:val="20"/>
          <w:szCs w:val="20"/>
        </w:rPr>
        <w:br w:type="page"/>
      </w:r>
    </w:p>
    <w:p w:rsidR="00C067E0" w:rsidRPr="004739D6" w:rsidRDefault="00C067E0" w:rsidP="00C067E0">
      <w:pPr>
        <w:rPr>
          <w:b/>
          <w:sz w:val="26"/>
          <w:szCs w:val="26"/>
        </w:rPr>
      </w:pPr>
      <w:r w:rsidRPr="004739D6">
        <w:rPr>
          <w:b/>
          <w:sz w:val="26"/>
          <w:szCs w:val="26"/>
        </w:rPr>
        <w:lastRenderedPageBreak/>
        <w:t>12. Vyváženost skladby akademických pracovníků (věková, genderová)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 (30%)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Věkově vyvážené složení zaměstnanců VŠ, včetně managementu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Spolupráce starší a mladší generace – předávání zkušeností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Genderová vyváženost i v managementu VŠ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Podpora návratu mladých akademických pracovníků z mateřské/rodičovské dovolené do akademického prostředí – mateřské školky/dětské koutky, pružná pracovní doba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Motivační pobídky pro mladé perspektivní zaměstnance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W (29%)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b/>
          <w:sz w:val="20"/>
          <w:szCs w:val="20"/>
        </w:rPr>
        <w:t xml:space="preserve">Vysoký průměrný věk profesorů a docentů 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 xml:space="preserve">Chybí střední generace akademických pracovníků 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Generační mezery v personálním zajištění některých oborů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Genderová nevyváženost na pozicích docent/profesor v neprospěch žen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Malý počet žen v nižším managementu VŠ (především technické obory)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 (19%)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Existence projektů zabývajících se problematikou věkové a genderové skladby pracovníků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Medializace vědy, podpora účasti žen v akademickém vědeckém prostředí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Využití programů mobilit aktivit pro získání mladších perspektivních pracovníků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T (22%)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Odchod mladých pracovníků za lepším pracovním uplatněním v praxi a v zahraničí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Pozdní odchod do důchodu ohrožuje pracovní příležitosti pro mladé akademické pracovníky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Slabá sociální politika státu (péče o rodinu a dítě)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Možné snížení počtu mladých akademických pracovníků vlivem demografického vývoje v příštích 5 až 10 letech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Nedostatečné finanční prostředky nevytváří především mladším pedagogům dostatečné finanční zázemí – dvě zaměstnání jsou v podstatě nezbytností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Neefektivní vedení a řízení akademického prostředí, časté reorganizace v rezortu VŠ v důsledku častých změn ve vedení MŠMT mohou negativně působit na zájem mladé generace hledat zaměstnání na VŠ</w:t>
      </w:r>
    </w:p>
    <w:p w:rsidR="00C067E0" w:rsidRPr="004739D6" w:rsidRDefault="00C067E0" w:rsidP="00C067E0">
      <w:pPr>
        <w:pStyle w:val="Odstavecseseznamem"/>
        <w:spacing w:after="120" w:line="240" w:lineRule="auto"/>
        <w:ind w:left="0"/>
        <w:rPr>
          <w:sz w:val="20"/>
          <w:szCs w:val="20"/>
        </w:rPr>
      </w:pPr>
    </w:p>
    <w:p w:rsidR="00C067E0" w:rsidRDefault="00C067E0" w:rsidP="00C067E0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C067E0" w:rsidRPr="004739D6" w:rsidRDefault="00C067E0" w:rsidP="00C067E0">
      <w:pPr>
        <w:rPr>
          <w:b/>
          <w:sz w:val="26"/>
          <w:szCs w:val="26"/>
        </w:rPr>
      </w:pPr>
      <w:r w:rsidRPr="004739D6">
        <w:rPr>
          <w:b/>
          <w:sz w:val="26"/>
          <w:szCs w:val="26"/>
        </w:rPr>
        <w:lastRenderedPageBreak/>
        <w:t>13. Kariérní růst akademických pracovníků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 (27%)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Jasně definovaná pravidla a kritéria habilitačních a jmenovacích řízení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Existující či připravovaný kariérní řád - systematický přístup a jasná pravidla v personální oblasti s navazujícím systémem odměňování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Možnosti dalšího vzdělávání a profesního růstu akademických pracovníků, zvyšování kompetencí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Možnost získávání zahraničních zkušeností, podpora stáží a mobility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Podpora pro akademické tvůrčí volno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W (32%)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Nezájem o kariéru, nízká motivace akademických pracovníků pro zvyšování vědeckých hodností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sz w:val="20"/>
          <w:szCs w:val="20"/>
        </w:rPr>
        <w:t>Nesrovnatelná kritéria kariérního růstu - různé podmínky pro habilitační a jmenovací řízení na různých VŠ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Chybějící či neúplný kariérní řád, rozdílné přístupy na jednotlivých součástech VŠ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Malá ochota akademických pracovníků převzít odpovědnost a pracovat ve vedoucích funkcích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Malý zájem akademických pracovníků o profesní růst v rámci zahraniční mobility (pracovní vytíženost na mateřské VŠ, jazyková omezení)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 (20%)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 xml:space="preserve">Posílení manažerských kompetencí akademických pracovníků prostřednictvím vzdělávacích projektů 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Posílení mzdových složek pro motivaci aktivních akademických pracovníků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Využití flexibility mladších akademických pracovníků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Rozvojové programy pro podporu mobility akademických pracovníků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T (21%)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Nedostatek finančních prostředků v oblasti vysokého školství pro posílení motivačních složek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Nejasné legislativní záměry střídajících se politických reprezentací směrem k VŠ, nesystémové zásahy do legislativy (jmenování profesorů)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Přílišný důraz na systemizaci a ryze formální kritéria personálních plánů může vést k petrifikaci systému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Nebezpečí izolace VŠ v rámci úzkého národního teritoria (omezená schopnost mobility a výuky v cizím jazyce)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Pracovně právní legislativa omezuje flexibilitu personálních změn podporujících kvalitu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Nedostatečně motivující kariérní růst pro mladé akademické pracovníky, jejich odchod do soukromé sféry nebo do zahraničí</w:t>
      </w:r>
    </w:p>
    <w:p w:rsidR="00C067E0" w:rsidRPr="004739D6" w:rsidRDefault="00C067E0" w:rsidP="00C067E0">
      <w:pPr>
        <w:rPr>
          <w:sz w:val="20"/>
          <w:szCs w:val="20"/>
        </w:rPr>
      </w:pPr>
      <w:r w:rsidRPr="004739D6">
        <w:rPr>
          <w:sz w:val="20"/>
          <w:szCs w:val="20"/>
        </w:rPr>
        <w:br w:type="page"/>
      </w:r>
    </w:p>
    <w:p w:rsidR="00C067E0" w:rsidRPr="004739D6" w:rsidRDefault="00C067E0" w:rsidP="00C067E0">
      <w:pPr>
        <w:rPr>
          <w:b/>
          <w:sz w:val="26"/>
          <w:szCs w:val="26"/>
        </w:rPr>
      </w:pPr>
      <w:r w:rsidRPr="004739D6">
        <w:rPr>
          <w:b/>
          <w:sz w:val="26"/>
          <w:szCs w:val="26"/>
        </w:rPr>
        <w:lastRenderedPageBreak/>
        <w:t>14. Péče o zaměstnance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 (37%)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Stabilita a jistota zaměstnání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Benefity pro zaměstnance (příspěvky na stravování, penzijní připojištění, dovolená pro THP, zdravotní volno)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Rekreační zařízení, podpora sportovních a kulturních aktivit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Pomoc při řešení ubytování (startovací byty, služební byty, koleje pro mladé akademické pracovníky)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Podpora zaměstnanců s dětmi (školky, dětské koutky)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Poskytování tvůrčího volna akademickým pracovníkům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Podpora zahraničních stáží a mobilit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Podpora zvyšování kvalifikace a odborného růstu (jazykové kurzy, manažerské dovednosti, pedagogické dovednosti)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W (26%)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Rozdílná úroveň péče o akademické pracovníky na jednotlivých součástech VŠ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Nedostatečná komunikace a zpětná vazba pro zjišťování potřeb a požadavků zaměstnanců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Nedostatečná nabídka stravovacích služeb - dostupnost, kvalita, kapacita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Přetíženost akademických pracovníků, především těch klíčových (administrativou, výukou)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Chudá nabídka bonusů, včetně nefinančních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Malá kapacita relaxačních možností (kultura, sport)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Vůbec není využívána možnost studijního volna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 (20%)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Využití programů podpory rozvoje pracovníků VŠ v terciárním vzdělávání (operační programy EU)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Zvýšení finančních prostředků pro VŠ - přesun administrativy na profesionální administrativní aparát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Průzkum požadavků a potřeb zaměstnanců, možnost získávání praktických zkušeností v rámci jiných univerzit v ČR i v zahraničí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Posílení, restrukturalizace či vytvoření podpůrných pracovišť zajišťujících péči o zaměstnance (podmíněno dostatkem finančních prostředků)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T (17%)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Nedostatek finančních prostředků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Administrativní a pracovní přetížení akademických pracovníků, nezájem zaměstnanců o nabízené služby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Nekonkurenceschopné benefity v porovnání se soukromým sektorem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Reálná nefunkčnost některých celoškolských útvarů, které by měly zajišťovat péči o zaměstnance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Nestabilní ekonomické a legislativní prostředí</w:t>
      </w:r>
    </w:p>
    <w:p w:rsidR="00C067E0" w:rsidRPr="004739D6" w:rsidRDefault="00C067E0" w:rsidP="00C067E0">
      <w:pPr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br w:type="page"/>
      </w:r>
    </w:p>
    <w:p w:rsidR="00C067E0" w:rsidRPr="004739D6" w:rsidRDefault="00C067E0" w:rsidP="00C067E0">
      <w:pPr>
        <w:rPr>
          <w:b/>
          <w:sz w:val="26"/>
          <w:szCs w:val="26"/>
        </w:rPr>
      </w:pPr>
      <w:r w:rsidRPr="004739D6">
        <w:rPr>
          <w:b/>
          <w:sz w:val="26"/>
          <w:szCs w:val="26"/>
        </w:rPr>
        <w:lastRenderedPageBreak/>
        <w:t>15. Motivační aspekty pro zaměstnance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 (37%)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Kvalitní pracovní prostředí, stabilita instituce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Akademické svobody, pružná pracovní doba, možnost seberealizace a osobního růstu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Termínované pracovní smlouvy - motivace ke kariérnímu růstu a kreativitě ve výuce a tvůrčích aktivitách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Motivační systém zakládající se na dosažených výkonech v pedagogické a tvůrčí činnosti – výkonové pohyblivé složky mzdy, osobní příplatky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Ostatní zaměstnanecké benefity (stravování, využití volného času, poradenské služby, dovolená, péče o děti zaměstnanců)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Zahraniční kontakty a stáže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W (27%)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Nedostatečné finanční prostředky na posílení mzdových složek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Nízké základní platy zaměstnanců, nedostatečné nadtarifní složky platu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Velká časová náročnost zacvičování nových pracovníků, složitost VŠ prostředí, neadekvátní nabízenému finančnímu ohodnocení, nedostatečné nástroje adaptačního procesu pro nové zaměstnance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Nepopularita systému hodnocení výkonů pro akademické pracovníky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 (19%)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Navýšení rozpočtu VŠ by umožnilo i zvýšit mzdové prostředky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Propracovanější systém benefitů finančních i nepeněžních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Nastavení pružnějšího systému pro motivační pohyblivé složky mzdy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Zlepšení prostředí VŠ a jejího technického vybavení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Změna pracovně právní legislativy (termínované pracovní smlouvy)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T (18%)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Konkurence zaměstnavatelů s lepšími pracovními podmínkami a motivačním systémem, odchod zaměstnanců VŠ za lepšími podmínkami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Nedostatek finančních prostředků v oblasti vysokého školství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Zvyšující se nároky na administrativu a provoz školy – přetěžování zaměstnanců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Omezené prostředky z operačních programů EU pro pražské VŠ – mimopražské VŠ mají lepší možnosti pro motivaci zaměstnanců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Pracovně právní legislativa není vhodná pro akademické prostředí</w:t>
      </w:r>
    </w:p>
    <w:p w:rsidR="00C067E0" w:rsidRPr="004739D6" w:rsidRDefault="00C067E0" w:rsidP="00C067E0">
      <w:pPr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br w:type="page"/>
      </w:r>
    </w:p>
    <w:p w:rsidR="00C067E0" w:rsidRPr="004739D6" w:rsidRDefault="00C067E0" w:rsidP="00C067E0">
      <w:pPr>
        <w:rPr>
          <w:b/>
          <w:sz w:val="26"/>
          <w:szCs w:val="26"/>
        </w:rPr>
      </w:pPr>
      <w:r w:rsidRPr="004739D6">
        <w:rPr>
          <w:b/>
          <w:sz w:val="26"/>
          <w:szCs w:val="26"/>
        </w:rPr>
        <w:lastRenderedPageBreak/>
        <w:t>16. Hodnocení akademických pracovníků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 (30%)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Zapojení studentů do hodnocení akademických pracovníků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Hodnocení akademických pracovníků je spojeno s pohyblivými složkami mzdy – motivační účinek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Zaveden systém periodického hodnocení prestižních tvůrčích výsledků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Oceňování nejlepších pracovníků rektorem školy – posílení motivace, prestižní ocenění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Individuální plány osobního a kariérního rozvoje pracovníka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Existence transparentních a dostatečně širokých kritérií hodnocení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Reflexe specifik fakult a oborů při hodnocení akademických pracovníků, aplikace specifických přístupů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W (29%)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Formální a nedůsledný přístup k hodnocení akademických pracovníků školy, často subjektivní hodnocení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Rozdílné systémy hodnocení v rámci jedné VŠ, hodnocení standardizováno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Nedostatečné propojení hodnocení akademických pracovníků s mzdovým ohodnocením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Neochota studentů podílet se na evaluaci vzdělávací činnosti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 (23%)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Využívání zkušeností ostatních VŠ i firemní sféry, implementace „best practices“ z prestižních zahraničních univerzit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Posílení motivace akademických pracovníků pochopit význam hodnocení, posílení vazby hodnocení na jejich pracovní nasazení a systém odměňování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Implementace standardních systémů hodnocení kvality (EFQM, ISO, mezinárodní standardy)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T (18%)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Zavedení normativního kvantifikovaného modelu hodnocení pracovníků, který by nerespektoval specifické podmínky VŠ - obtížná možnost využití systémů hodnocení z vnějšího prostředí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Byrokratizace, formalismus, plánování bez realistického přihlížení k rozdílné povaze různých oborů nebo individuálních projektů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Rigidní legislativa v oblasti zaměstnávání akademických pracovníků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Měnící se metodika pro hodnocení výsledků VaVaI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Konkurence na trhu práce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Zdlouhavá příprava novely VŠ zákona</w:t>
      </w:r>
    </w:p>
    <w:p w:rsidR="00C067E0" w:rsidRPr="004739D6" w:rsidRDefault="00C067E0" w:rsidP="00C067E0">
      <w:pPr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br w:type="page"/>
      </w:r>
    </w:p>
    <w:p w:rsidR="00C067E0" w:rsidRPr="004739D6" w:rsidRDefault="00C067E0" w:rsidP="00C067E0">
      <w:pPr>
        <w:rPr>
          <w:b/>
          <w:sz w:val="26"/>
          <w:szCs w:val="26"/>
        </w:rPr>
      </w:pPr>
      <w:r w:rsidRPr="004739D6">
        <w:rPr>
          <w:b/>
          <w:sz w:val="26"/>
          <w:szCs w:val="26"/>
        </w:rPr>
        <w:lastRenderedPageBreak/>
        <w:t>17. Dostupnost a kvalita infrastrukturního zázemí informačních a komunikačních technologií v činnostech VŠ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 (27%)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Dobrá vybavenost výpočetní technikou, kvalitní serverová a síťová infrastruktura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Vysoká úroveň informačních technologií a knihovních služeb, dostatečná nabídka odborných elektronických informačních zdrojů, přístup do databází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Vlastní možnost programátorského zázemí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Dobrá konektivita, připojení na páteřní síť CESNET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Dostupnost elektronických manažerských a studijních systémů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W (33%)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Duplicita vybraných nástrojů na úrovni fakult a univerzity, roztříštěnost softwarových programů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Absence dlouhodobého záměru rozvoje IT, nejasná zadání na nové funkce informačního systému ze stran fakult a rektorátu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Odliv zkušených IT pracovníků za lepšími platy v soukromé sféře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Nízká informovanost o možnostech využívání EIZ, malá publicita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Nedostatek finančních prostředků na ICT oblast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Závislost na dodavatelích některých klíčových ICT systémů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Nižší provázanost informačních systémů podporujících potřeby akademické obce, jejich pomalá aktualizace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Stále nedostatečná IT podpora studentů se specifickými potřebami - infrastruktura, speciální výukové pomůcky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Nedostatečná úroveň komunikace mezi poskytovateli a uživateli IT služeb na celouniverzitní úrovni, obtížné zavádění nových systémů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Velmi nízké povědomí vedoucích pracovníků školy o informační strategii - u mnohých naprosté nepochopení základních pojmů a procesů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 (20%)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Využití projektového financování, CRP a vícezdrojové financování pro rozvoj ICT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Spolupráce s ostatními VŠ při tvorbě IT nástrojů, sdílení IT infrastruktury v širokém akademickém prostředí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Elektronizace všech relevantních agend, manažerských a studijních systémů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Možnost spolupráce s komerční sférou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Možnost vyjednání výhodných obchodních podmínek v případě koordinovaného postupu na vnitrouniverzitní i národní úrovni (např. nákupy IT či analytické nástroje pro všechny univerzity)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T (20%)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Pokračující zdražování ICT zdrojů a technologií ohrožující jejich dostupnost, kontinuální potřeba obnovy rychle zastarávajících ICT technologií („černá díra na peníze“)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Příliš časté změny vnějšího legislativního prostředí, které vedou k potřebám častých zásahů do informačního systému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Informační zahlcenost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Bezpečnost dat, jejich ztráta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Vysoká míra technologické inovace konkurenčních VŠ - ztráta konkurenceschopnosti</w:t>
      </w:r>
    </w:p>
    <w:p w:rsidR="00C067E0" w:rsidRPr="004739D6" w:rsidRDefault="00C067E0" w:rsidP="00C067E0">
      <w:pPr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br w:type="page"/>
      </w:r>
    </w:p>
    <w:p w:rsidR="00C067E0" w:rsidRPr="004739D6" w:rsidRDefault="00C067E0" w:rsidP="00C067E0">
      <w:pPr>
        <w:rPr>
          <w:b/>
          <w:sz w:val="26"/>
          <w:szCs w:val="26"/>
        </w:rPr>
      </w:pPr>
      <w:r w:rsidRPr="004739D6">
        <w:rPr>
          <w:b/>
          <w:sz w:val="26"/>
          <w:szCs w:val="26"/>
        </w:rPr>
        <w:lastRenderedPageBreak/>
        <w:t>18. Sociální služby (podpora financování studia, ubytování, stravování, poradenství, speciální potřeby)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 (36%)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Dostatečná kapacita a kvalita v oblasti ubytování a stravování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Funkční systém sociálních stipendií, ubytovací stipendia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Univerzitní školka, dětský koutek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Dobře fungující poradenství pro zahraniční studenty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Kariérní centrum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Dostupnost kompenzačních technologií a pomůcek pro individuální využití studenty se speciálními potřebami, možnosti využití videokonferencí pro výuku handicapovaných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Bezbariérové ubytovací a stravovací služby pro studenty se specifickými potřebami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Zřizování bezbariérových přístupů v budovách VŠ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Potenciální možnost ubytování pro začínající pracovníky (koleje, pronájem bytu)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Poradenská centra  - sociálně-právní, psychologická, profesní, k otázkám zdraví a zdravého životního stylu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W (26%)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Malá dostupnost informací o nabídce služeb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Roztříštěnost pracovišť a center poskytujících informační a poradenské služby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Úzké portfolio poskytovaných služeb, kapacitní omezení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Sezónní poptávka po stravování, nevyrovnané kapacity výdejů jídel během dne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Relativně nižší standard ubytování, pokles zájmu o ubytování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Přetrvávající bariérový přístup především ve starších budovách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Nízká stipendia pro studenty doktorského programu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Problémy s parkovacími místy v areálu VŠ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 (22%)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Možnost využití projektů financovaných z OP EU, rozvojových programů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Spolupráce s městem /krajem při prosazování infrastrukturních investic a poskytování služeb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Průzkum požadavků a potřeb zaměstnanců a studentů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Podpora excelentních studentů ze strany partnerů školy, využití donátorství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Intenzivnější propagace činnosti informačně poradenského centra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Asistentská služba pro hendikepované studenty (využití studentů-asistentů)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Získání grantů pro podporu studentů a doktorandů nebo mladých vědců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Studentské půjčky podporované státem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T (17%)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Nedostatek financí na podporu sociálních služeb a poradenství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right="-284" w:hanging="284"/>
        <w:rPr>
          <w:sz w:val="20"/>
          <w:szCs w:val="20"/>
        </w:rPr>
      </w:pPr>
      <w:r w:rsidRPr="004739D6">
        <w:rPr>
          <w:sz w:val="20"/>
          <w:szCs w:val="20"/>
        </w:rPr>
        <w:t>Nevytížení kapacity kolejí a stravovacích zařízení vlivem klesajícího počtu studentů, konkurence ubytovacích a stravovacích služeb v regionu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right="-284" w:hanging="284"/>
        <w:rPr>
          <w:sz w:val="20"/>
          <w:szCs w:val="20"/>
        </w:rPr>
      </w:pPr>
      <w:r w:rsidRPr="004739D6">
        <w:rPr>
          <w:sz w:val="20"/>
          <w:szCs w:val="20"/>
        </w:rPr>
        <w:t>Malý počet odborníků s potřebnou specializací pro poradenství v sociální oblasti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right="-284" w:hanging="284"/>
        <w:rPr>
          <w:sz w:val="20"/>
          <w:szCs w:val="20"/>
        </w:rPr>
      </w:pPr>
      <w:r w:rsidRPr="004739D6">
        <w:rPr>
          <w:sz w:val="20"/>
          <w:szCs w:val="20"/>
        </w:rPr>
        <w:t>Zvyšování zastoupení studentů z nízkého socioekonomického zázemí – vyšší nároky na sociální podporu</w:t>
      </w:r>
    </w:p>
    <w:p w:rsidR="00C067E0" w:rsidRPr="004739D6" w:rsidRDefault="00C067E0" w:rsidP="00C067E0">
      <w:pPr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br w:type="page"/>
      </w:r>
    </w:p>
    <w:p w:rsidR="00C067E0" w:rsidRPr="004739D6" w:rsidRDefault="00C067E0" w:rsidP="00C067E0">
      <w:pPr>
        <w:rPr>
          <w:b/>
          <w:sz w:val="26"/>
          <w:szCs w:val="26"/>
        </w:rPr>
      </w:pPr>
      <w:r w:rsidRPr="004739D6">
        <w:rPr>
          <w:b/>
          <w:sz w:val="26"/>
          <w:szCs w:val="26"/>
        </w:rPr>
        <w:lastRenderedPageBreak/>
        <w:t>19. Systém sociálních vztahů na univerzitě, který by cílevědomě řešil potřeby zaměstnanců a zdravotně postižených studentů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 (38%)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Proškolenost a připravenost jednotlivých rektorátních a fakultních oddělení k podpoře studentů se SVP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Možnost individuálních studijních plánů pro zdravotně postižené studenty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Vytváření komplexní péče o sociální potřeby zaměstnanců (péče o děti zaměstnanců)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Zájmové organizace pro zaměstnance VŠ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Existence kolektivní smlouvy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Systém řešení bydlení zaměstnanců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Existence etické komise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Poradenské služby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W (21%)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Nízká propagace studia na VŠ mezi potencionálními postiženými studenty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Neproškolení akademičtí/neakademičtí pracovníci a nízký zájem o osoby s handicapem, slabá připravenost učitelů na výuku studentů se specifickými potřebami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Neexistence centrálního systému podpory znevýhodněných studentů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Neexistence komplexního systému sociální péče o zaměstnance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Odtrženost a malá míra integrace studentů se SVP do studentského života, stále existující předsudky vůči znevýhodněným jedincům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 (21%)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Možnost provázání sociálních vztahů s ostatními ITV, zejména v regionu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Využití zdrojů EU a jiných grantových zdrojů určených na pomoc studentům se speciálními potřebami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Sdílení zkušeností z ostatních VŠ, institucí i zahraničních „best practices“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Využití sociálních sítí specializujících se na zdravotně postižené k propagaci VŠ studia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T (20%)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Nedostatek finančních prostředků pro studenty se specifickými potřebami, rostoucí náklady spojené se sociálními potřebami zaměstnanců a studentů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Obtížná možnost pracovního uplatnění postižených studentů, nekvalifikovaný přístup vnějšího okolí ke zdravotně postiženým studentům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Zhoršování sociálních vztahů na základě zhoršující se ekonomické situace</w:t>
      </w:r>
    </w:p>
    <w:p w:rsidR="00C067E0" w:rsidRPr="004739D6" w:rsidRDefault="00C067E0" w:rsidP="00C067E0">
      <w:pPr>
        <w:rPr>
          <w:b/>
          <w:sz w:val="26"/>
          <w:szCs w:val="26"/>
        </w:rPr>
      </w:pPr>
      <w:r w:rsidRPr="004739D6">
        <w:rPr>
          <w:b/>
          <w:sz w:val="20"/>
          <w:szCs w:val="20"/>
        </w:rPr>
        <w:br w:type="page"/>
      </w:r>
      <w:r w:rsidRPr="004739D6">
        <w:rPr>
          <w:b/>
          <w:sz w:val="26"/>
          <w:szCs w:val="26"/>
        </w:rPr>
        <w:lastRenderedPageBreak/>
        <w:t>20+21. Zázemí nejen pro studium, ale i pro volnočasové aktivity studentů včetně podpory činnosti studentských organizací, materiálová a organizační podpora kulturních a sportovních aktivit pro studenty a zaměstnance univerzity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 (37%)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Využívání prostředků rozvojových projektů a stipendijních fondů pro podporu volnočasových aktivit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Aktivita studentských organizací a studentských klubů, spolupráce s vedením VŠ – studenti mohou bez problémů využívat zázemí VŠ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Dostupnost vlastních rekreačních zařízení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Velmi dobře vybavené sportovní zázemí univerzity přímo v kampusu nebo na kolejích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Možnost individuálního studijního plánu pro aktivní sportovce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Existence sportovního univerzitního klubu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Existující kulturní tělesa s tradicí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Mimořádná cena rektora studentům za mimořádné kulturní a sportovní výsledky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Propagace špičkových výkonů umělců a sportovců z řad studentů a pedagogů prostřednictvím médií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Každoroční pořádání plesu školy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Podpora seznamovacích kurzů pro první ročníky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Podpora kulturních a sportovních aktivit prostřednictvím odborové organizace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Propojení vybraných oborů s kulturním zázemím v regionu (divadla, hudební představení, filmové představení, koncerty, festival)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W (25%)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Chybí vhodné prostory pro volnočasové aktivity, limitovaná kapacita sportovišť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Malá aktivita studentů, malý zájem o volnočasové aktivity ze strany studentů i zaměstnanců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Neexistence zastřešující studentské organizace, velká roztříštěnost studentských spolků, chybí koordinace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Nedostatečná propagace a informovanost ohledně volnočasových akcí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Nedostatek finančních prostředků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Nižší podpora kulturních akcí oproti sportovním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 (22%)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Spolupráce s municipalitou, s regionem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Spolupráce studentských organizací, spolupráce mezi VŠ navzájem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Sponzorování a spolufinancování studentských aktivit partnery a mecenáši z komerční sféry, hledání jiných zdrojů financování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Internacionalizace volnočasových aktivit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Medializace volnočasových aktivit, podpora informovanosti, rozvíjející se spolupráce se sdělovacími prostředky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T (16%)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Nezájem studentů o volnočasové aktivity, o práci ve studentských organizacích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Nedostatečné finance v sektoru VŠ – omezené financování volnočasových aktivit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Vysoká konkurence volnočasových aktivit v Praze a velkých městech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Technické a morální zastarávání sportovních zařízení a prostor, když se nebudou udržovat</w:t>
      </w:r>
    </w:p>
    <w:p w:rsidR="00C067E0" w:rsidRPr="004739D6" w:rsidRDefault="00C067E0" w:rsidP="00C067E0">
      <w:pPr>
        <w:rPr>
          <w:sz w:val="20"/>
          <w:szCs w:val="20"/>
        </w:rPr>
      </w:pPr>
      <w:r w:rsidRPr="004739D6">
        <w:rPr>
          <w:sz w:val="20"/>
          <w:szCs w:val="20"/>
        </w:rPr>
        <w:br w:type="page"/>
      </w:r>
    </w:p>
    <w:p w:rsidR="00C067E0" w:rsidRPr="004739D6" w:rsidRDefault="00C067E0" w:rsidP="00C067E0">
      <w:pPr>
        <w:rPr>
          <w:b/>
          <w:sz w:val="26"/>
          <w:szCs w:val="26"/>
        </w:rPr>
      </w:pPr>
      <w:r w:rsidRPr="004739D6">
        <w:rPr>
          <w:b/>
          <w:sz w:val="26"/>
          <w:szCs w:val="26"/>
        </w:rPr>
        <w:lastRenderedPageBreak/>
        <w:t>22. Problematika bezpečnosti (utajované skutečnosti, ochrana dat a duševního vlastnictví, bezpečnost osob)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S (30%)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Existence vnitřních předpisů a norem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Kvalifikovaní odborníci zajišťující ochranu a bezpečnost informací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Pravidelná školení a osvěta zaměstnanců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Efektivní využívání systémů na odhalování plagiátů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HW a SW systémy ochrany dat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Dlouhodobá spolupráce s advokátní a patentovou kanceláří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Jednotný identifikační systém oprávněných osob, kartový systém pro ochranu osob a majetku,</w:t>
      </w:r>
    </w:p>
    <w:p w:rsidR="00C067E0" w:rsidRPr="004739D6" w:rsidRDefault="00C067E0" w:rsidP="00C067E0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Etický kodex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W (28%)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Riziko selhání lidského faktoru, slabá ochrana systémů před útokem třetích osob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Nedostatek finančních prostředků na rozvoj (modernizaci) oblasti bezpečnosti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Nedostatečná ochrana autorského a duševního vlastnictví u publikací a učebních textů, porušování autorských práv (kopírování studijních pomůcek)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Poddimenzované právní oddělení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Nízká motivace některých pracovníků k ochraně duševního vlastnictví</w:t>
      </w:r>
    </w:p>
    <w:p w:rsidR="00C067E0" w:rsidRPr="004739D6" w:rsidRDefault="00C067E0" w:rsidP="00C067E0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Absence jednotné strategie IT ohrožuje schopnost ochrany dat</w:t>
      </w:r>
    </w:p>
    <w:p w:rsidR="00C067E0" w:rsidRPr="004739D6" w:rsidRDefault="00C067E0" w:rsidP="00C067E0">
      <w:pPr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O (19%)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Vzdělávání akademických pracovníků a studentů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Sdílení zkušeností mezi VŠ, propojení sítí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Rozvoj IT v oblasti bezpečnosti dat</w:t>
      </w:r>
    </w:p>
    <w:p w:rsidR="00C067E0" w:rsidRPr="004739D6" w:rsidRDefault="00C067E0" w:rsidP="00C067E0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Implementace bezpečnostních postupů dle standardů ISO, ITIL a COBIT</w:t>
      </w:r>
    </w:p>
    <w:p w:rsidR="00C067E0" w:rsidRPr="004739D6" w:rsidRDefault="00C067E0" w:rsidP="00C067E0">
      <w:pPr>
        <w:tabs>
          <w:tab w:val="left" w:pos="2552"/>
        </w:tabs>
        <w:spacing w:after="120" w:line="240" w:lineRule="auto"/>
        <w:rPr>
          <w:b/>
          <w:sz w:val="20"/>
          <w:szCs w:val="20"/>
        </w:rPr>
      </w:pPr>
      <w:r w:rsidRPr="004739D6">
        <w:rPr>
          <w:b/>
          <w:sz w:val="20"/>
          <w:szCs w:val="20"/>
        </w:rPr>
        <w:t>T (23%)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Statut VŠ neumožňuje důsledné zabezpečení univerzity, nebezpečí narušení prostředí školy ze strany vnějších osob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4739D6">
        <w:rPr>
          <w:sz w:val="20"/>
          <w:szCs w:val="20"/>
        </w:rPr>
        <w:t>Zneužití dat nepovolanými osobami, zcizení duševního vlastnictví, ekonomické ztráty</w:t>
      </w:r>
    </w:p>
    <w:p w:rsidR="00C067E0" w:rsidRPr="004739D6" w:rsidRDefault="00C067E0" w:rsidP="00C067E0">
      <w:pPr>
        <w:pStyle w:val="Odstavecseseznamem"/>
        <w:numPr>
          <w:ilvl w:val="0"/>
          <w:numId w:val="4"/>
        </w:numPr>
        <w:spacing w:after="120" w:line="240" w:lineRule="auto"/>
        <w:ind w:left="284" w:right="-4" w:hanging="284"/>
        <w:rPr>
          <w:sz w:val="20"/>
          <w:szCs w:val="20"/>
        </w:rPr>
      </w:pPr>
      <w:r w:rsidRPr="004739D6">
        <w:rPr>
          <w:sz w:val="20"/>
          <w:szCs w:val="20"/>
        </w:rPr>
        <w:t>Možnost zneužití univerzity ke klamavým nebo nelegálním aktivitám (zneužití statutu studenta, záštity university apod.)</w:t>
      </w:r>
    </w:p>
    <w:p w:rsidR="00A20802" w:rsidRPr="00C067E0" w:rsidRDefault="00A20802" w:rsidP="00C067E0">
      <w:bookmarkStart w:id="0" w:name="_GoBack"/>
      <w:bookmarkEnd w:id="0"/>
    </w:p>
    <w:sectPr w:rsidR="00A20802" w:rsidRPr="00C067E0" w:rsidSect="004159F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389" w:right="1417" w:bottom="1417" w:left="1417" w:header="34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E35" w:rsidRDefault="00692E35">
      <w:r>
        <w:separator/>
      </w:r>
    </w:p>
  </w:endnote>
  <w:endnote w:type="continuationSeparator" w:id="0">
    <w:p w:rsidR="00692E35" w:rsidRDefault="0069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B4FFC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2080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C460C" w:rsidRDefault="009C460C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E21A55">
    <w:pPr>
      <w:pStyle w:val="Zpat"/>
      <w:ind w:right="360" w:hanging="1417"/>
      <w:jc w:val="center"/>
      <w:rPr>
        <w:rFonts w:ascii="Arial Narrow" w:hAnsi="Arial Narrow"/>
        <w:color w:val="5F5F5F"/>
        <w:sz w:val="16"/>
      </w:rPr>
    </w:pP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78720" behindDoc="1" locked="0" layoutInCell="1" allowOverlap="1" wp14:anchorId="5E37378C" wp14:editId="075AE535">
          <wp:simplePos x="0" y="0"/>
          <wp:positionH relativeFrom="margin">
            <wp:posOffset>1503680</wp:posOffset>
          </wp:positionH>
          <wp:positionV relativeFrom="paragraph">
            <wp:posOffset>188595</wp:posOffset>
          </wp:positionV>
          <wp:extent cx="2657475" cy="586105"/>
          <wp:effectExtent l="0" t="0" r="9525" b="4445"/>
          <wp:wrapNone/>
          <wp:docPr id="6" name="obrázek 2" descr="..\OPVK_hor_zakladni_logolink_C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\OPVK_hor_zakladni_logolink_CB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586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57216" behindDoc="0" locked="0" layoutInCell="1" allowOverlap="1" wp14:anchorId="11537971" wp14:editId="4A66A0E4">
          <wp:simplePos x="0" y="0"/>
          <wp:positionH relativeFrom="column">
            <wp:posOffset>-880745</wp:posOffset>
          </wp:positionH>
          <wp:positionV relativeFrom="paragraph">
            <wp:posOffset>49530</wp:posOffset>
          </wp:positionV>
          <wp:extent cx="7510780" cy="161290"/>
          <wp:effectExtent l="0" t="0" r="0" b="0"/>
          <wp:wrapNone/>
          <wp:docPr id="5" name="obrázek 3" descr="kuličky do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uličky do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510780" cy="161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C460C" w:rsidRDefault="000B4FFC">
    <w:pPr>
      <w:pStyle w:val="Zpat"/>
      <w:framePr w:wrap="notBeside" w:vAnchor="page" w:hAnchor="page" w:x="11137" w:y="16047"/>
      <w:rPr>
        <w:rStyle w:val="slostrnky"/>
        <w:color w:val="5F5F5F"/>
      </w:rPr>
    </w:pPr>
    <w:r>
      <w:rPr>
        <w:rStyle w:val="slostrnky"/>
        <w:color w:val="5F5F5F"/>
      </w:rPr>
      <w:fldChar w:fldCharType="begin"/>
    </w:r>
    <w:r w:rsidR="00A20802">
      <w:rPr>
        <w:rStyle w:val="slostrnky"/>
        <w:color w:val="5F5F5F"/>
      </w:rPr>
      <w:instrText xml:space="preserve">PAGE  </w:instrText>
    </w:r>
    <w:r>
      <w:rPr>
        <w:rStyle w:val="slostrnky"/>
        <w:color w:val="5F5F5F"/>
      </w:rPr>
      <w:fldChar w:fldCharType="separate"/>
    </w:r>
    <w:r w:rsidR="00C067E0">
      <w:rPr>
        <w:rStyle w:val="slostrnky"/>
        <w:noProof/>
        <w:color w:val="5F5F5F"/>
      </w:rPr>
      <w:t>11</w:t>
    </w:r>
    <w:r>
      <w:rPr>
        <w:rStyle w:val="slostrnky"/>
        <w:color w:val="5F5F5F"/>
      </w:rPr>
      <w:fldChar w:fldCharType="end"/>
    </w:r>
  </w:p>
  <w:p w:rsidR="009C460C" w:rsidRDefault="009C460C" w:rsidP="00566689">
    <w:pPr>
      <w:pStyle w:val="Zpat"/>
      <w:tabs>
        <w:tab w:val="left" w:pos="604"/>
        <w:tab w:val="left" w:pos="836"/>
      </w:tabs>
      <w:rPr>
        <w:color w:val="5F5F5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E35" w:rsidRDefault="00692E35">
      <w:r>
        <w:separator/>
      </w:r>
    </w:p>
  </w:footnote>
  <w:footnote w:type="continuationSeparator" w:id="0">
    <w:p w:rsidR="00692E35" w:rsidRDefault="00692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B4FFC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2080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C460C" w:rsidRDefault="009C460C">
    <w:pPr>
      <w:pStyle w:val="Zhlav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11A4B">
    <w:pPr>
      <w:pStyle w:val="Zhlav"/>
      <w:ind w:right="360"/>
      <w:jc w:val="center"/>
      <w:rPr>
        <w:rFonts w:ascii="Arial" w:hAnsi="Arial" w:cs="Arial"/>
        <w:color w:val="5F5F5F"/>
      </w:rPr>
    </w:pPr>
    <w:r>
      <w:rPr>
        <w:rFonts w:ascii="Arial" w:hAnsi="Arial" w:cs="Arial"/>
        <w:noProof/>
        <w:color w:val="5F5F5F"/>
        <w:lang w:eastAsia="cs-CZ"/>
      </w:rPr>
      <w:drawing>
        <wp:inline distT="0" distB="0" distL="0" distR="0" wp14:anchorId="5253D81E" wp14:editId="7596C9FE">
          <wp:extent cx="2047185" cy="599388"/>
          <wp:effectExtent l="19050" t="0" r="0" b="0"/>
          <wp:docPr id="4" name="obrázek 1" descr="LOGO IPN pro hl_P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PN pro hl_PAP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47185" cy="5993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444A"/>
    <w:multiLevelType w:val="hybridMultilevel"/>
    <w:tmpl w:val="395C0B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84DC7"/>
    <w:multiLevelType w:val="hybridMultilevel"/>
    <w:tmpl w:val="268298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F797B"/>
    <w:multiLevelType w:val="hybridMultilevel"/>
    <w:tmpl w:val="865881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4B64DD"/>
    <w:multiLevelType w:val="hybridMultilevel"/>
    <w:tmpl w:val="71C2B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2049">
      <o:colormru v:ext="edit" colors="#eaeaea,#f3f3f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33D"/>
    <w:rsid w:val="00011A4B"/>
    <w:rsid w:val="00040F4A"/>
    <w:rsid w:val="000B4FFC"/>
    <w:rsid w:val="000C33B9"/>
    <w:rsid w:val="001911CA"/>
    <w:rsid w:val="00193EB5"/>
    <w:rsid w:val="001B2578"/>
    <w:rsid w:val="00302637"/>
    <w:rsid w:val="0037089D"/>
    <w:rsid w:val="003E333D"/>
    <w:rsid w:val="004009D0"/>
    <w:rsid w:val="00406C07"/>
    <w:rsid w:val="004159F6"/>
    <w:rsid w:val="00466587"/>
    <w:rsid w:val="00495C50"/>
    <w:rsid w:val="00566689"/>
    <w:rsid w:val="005E563E"/>
    <w:rsid w:val="00685C8C"/>
    <w:rsid w:val="00692E35"/>
    <w:rsid w:val="007F6DCA"/>
    <w:rsid w:val="008F7EDA"/>
    <w:rsid w:val="009A3CE3"/>
    <w:rsid w:val="009C460C"/>
    <w:rsid w:val="00A20802"/>
    <w:rsid w:val="00AC2081"/>
    <w:rsid w:val="00B00B0A"/>
    <w:rsid w:val="00B15DD4"/>
    <w:rsid w:val="00B5358D"/>
    <w:rsid w:val="00C067E0"/>
    <w:rsid w:val="00C10870"/>
    <w:rsid w:val="00D524D6"/>
    <w:rsid w:val="00D56DF4"/>
    <w:rsid w:val="00DF5D5D"/>
    <w:rsid w:val="00E21A55"/>
    <w:rsid w:val="00E4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,#f3f3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mt_140127\KREDO\propagacni%20materialy\sablony\KREDO_&#352;ablona%20hlavi&#269;kov&#233;ho%20pap&#237;ru_zkr&#225;cen&#225;%20verze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KREDO_Šablona hlavičkového papíru_zkrácená verze</Template>
  <TotalTime>1</TotalTime>
  <Pages>12</Pages>
  <Words>3215</Words>
  <Characters>18969</Characters>
  <Application>Microsoft Office Word</Application>
  <DocSecurity>0</DocSecurity>
  <Lines>158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Vážení,</vt:lpstr>
    </vt:vector>
  </TitlesOfParts>
  <Company>MSMT</Company>
  <LinksUpToDate>false</LinksUpToDate>
  <CharactersWithSpaces>22140</CharactersWithSpaces>
  <SharedDoc>false</SharedDoc>
  <HLinks>
    <vt:vector size="24" baseType="variant">
      <vt:variant>
        <vt:i4>1048623</vt:i4>
      </vt:variant>
      <vt:variant>
        <vt:i4>1036</vt:i4>
      </vt:variant>
      <vt:variant>
        <vt:i4>1025</vt:i4>
      </vt:variant>
      <vt:variant>
        <vt:i4>1</vt:i4>
      </vt:variant>
      <vt:variant>
        <vt:lpwstr>LOGO IPN pro hl_PAP.jpg</vt:lpwstr>
      </vt:variant>
      <vt:variant>
        <vt:lpwstr/>
      </vt:variant>
      <vt:variant>
        <vt:i4>5308444</vt:i4>
      </vt:variant>
      <vt:variant>
        <vt:i4>1063</vt:i4>
      </vt:variant>
      <vt:variant>
        <vt:i4>1026</vt:i4>
      </vt:variant>
      <vt:variant>
        <vt:i4>1</vt:i4>
      </vt:variant>
      <vt:variant>
        <vt:lpwstr>..\OPVK_hor_zakladni_logolink_CB_cz.jpg</vt:lpwstr>
      </vt:variant>
      <vt:variant>
        <vt:lpwstr/>
      </vt:variant>
      <vt:variant>
        <vt:i4>29294619</vt:i4>
      </vt:variant>
      <vt:variant>
        <vt:i4>-1</vt:i4>
      </vt:variant>
      <vt:variant>
        <vt:i4>1025</vt:i4>
      </vt:variant>
      <vt:variant>
        <vt:i4>0</vt:i4>
      </vt:variant>
      <vt:variant>
        <vt:lpwstr>F:\ZAKAZKY\zedníčková\MŠMT\HLAVIČKOVÝ PAPÍR\pozadí1.jpg</vt:lpwstr>
      </vt:variant>
      <vt:variant>
        <vt:lpwstr/>
      </vt:variant>
      <vt:variant>
        <vt:i4>5243173</vt:i4>
      </vt:variant>
      <vt:variant>
        <vt:i4>-1</vt:i4>
      </vt:variant>
      <vt:variant>
        <vt:i4>2051</vt:i4>
      </vt:variant>
      <vt:variant>
        <vt:i4>1</vt:i4>
      </vt:variant>
      <vt:variant>
        <vt:lpwstr>kuličky dole.jpg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Vážení,</dc:title>
  <dc:creator>Nevěřilová Naďa</dc:creator>
  <cp:lastModifiedBy>Nevěřilová Naďa</cp:lastModifiedBy>
  <cp:revision>2</cp:revision>
  <cp:lastPrinted>2014-05-20T11:36:00Z</cp:lastPrinted>
  <dcterms:created xsi:type="dcterms:W3CDTF">2014-09-15T13:48:00Z</dcterms:created>
  <dcterms:modified xsi:type="dcterms:W3CDTF">2014-09-15T13:48:00Z</dcterms:modified>
</cp:coreProperties>
</file>